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D" w:rsidRDefault="00082F2D" w:rsidP="008673F8">
      <w:pPr>
        <w:pStyle w:val="Estilo"/>
        <w:ind w:right="-16"/>
        <w:jc w:val="center"/>
        <w:rPr>
          <w:rFonts w:ascii="NewsGotT" w:hAnsi="NewsGotT" w:cs="NewsGotT"/>
          <w:b/>
          <w:sz w:val="22"/>
          <w:szCs w:val="22"/>
        </w:rPr>
      </w:pPr>
      <w:bookmarkStart w:id="0" w:name="_GoBack"/>
      <w:bookmarkEnd w:id="0"/>
    </w:p>
    <w:p w:rsidR="008673F8" w:rsidRDefault="008673F8" w:rsidP="008673F8">
      <w:pPr>
        <w:pStyle w:val="Estilo"/>
        <w:ind w:right="-16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b/>
          <w:sz w:val="22"/>
          <w:szCs w:val="22"/>
        </w:rPr>
        <w:t>Anexo 3</w:t>
      </w:r>
    </w:p>
    <w:p w:rsidR="008673F8" w:rsidRDefault="008673F8" w:rsidP="008673F8">
      <w:pPr>
        <w:pStyle w:val="Estilo"/>
        <w:ind w:right="-16"/>
        <w:jc w:val="center"/>
        <w:rPr>
          <w:rFonts w:ascii="NewsGotT" w:hAnsi="NewsGotT" w:cs="NewsGotT"/>
          <w:b/>
          <w:dstrike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b/>
          <w:sz w:val="22"/>
          <w:szCs w:val="22"/>
        </w:rPr>
        <w:t>AUTORIZACIÓN DEL PROMOTOR PARA LA PUBLICACIÓN DE LA INFORMACIÓN RELATIVA AL ESTADO Y OTROS DATOS BÁSICOS DE LA INVESTIGACIÓN CLÍNICA</w:t>
      </w:r>
    </w:p>
    <w:p w:rsidR="008673F8" w:rsidRDefault="008673F8" w:rsidP="008673F8">
      <w:pPr>
        <w:pStyle w:val="Estilo"/>
        <w:ind w:right="-16"/>
        <w:jc w:val="center"/>
        <w:rPr>
          <w:rFonts w:ascii="NewsGotT" w:hAnsi="NewsGotT" w:cs="NewsGotT"/>
          <w:b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sz w:val="22"/>
          <w:szCs w:val="22"/>
        </w:rPr>
        <w:t>Las investigaciones clínicas suponen una gran oportunidad para que los pacientes tengan acceso a productos sanitarios que favorezcan su situación clínica.</w:t>
      </w:r>
    </w:p>
    <w:p w:rsidR="008673F8" w:rsidRDefault="008673F8" w:rsidP="008673F8">
      <w:pPr>
        <w:pStyle w:val="Estilo"/>
        <w:ind w:right="-16"/>
        <w:jc w:val="both"/>
        <w:rPr>
          <w:rFonts w:ascii="NewsGotT" w:hAnsi="NewsGotT" w:cs="NewsGotT"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sz w:val="22"/>
          <w:szCs w:val="22"/>
        </w:rPr>
        <w:t>En ese sentido, la posibilidad de que determinada información relativa a la investigación clínica esté publicada en la web de la Entidad Gestora y/o la autoridad sanitaria en Andalucía favorecerá el conocimiento por parte de la sociedad el estado de las investigaciones que se están realizando y contribuirá a elevar la participación en las mismas.</w:t>
      </w:r>
    </w:p>
    <w:p w:rsidR="008673F8" w:rsidRDefault="008673F8" w:rsidP="008673F8">
      <w:pPr>
        <w:pStyle w:val="Estilo"/>
        <w:ind w:right="-16"/>
        <w:jc w:val="both"/>
        <w:rPr>
          <w:rFonts w:ascii="NewsGotT" w:hAnsi="NewsGotT" w:cs="NewsGotT"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sz w:val="22"/>
          <w:szCs w:val="22"/>
        </w:rPr>
        <w:t>La Entidad Gestora y/o la autoridad sanitaria en Andalucía velará por la calidad, exactitud y actualización periódica de la información y datos publicados en la página web.</w:t>
      </w:r>
    </w:p>
    <w:p w:rsidR="008673F8" w:rsidRDefault="008673F8" w:rsidP="008673F8">
      <w:pPr>
        <w:pStyle w:val="Estilo"/>
        <w:ind w:right="-16"/>
        <w:jc w:val="both"/>
        <w:rPr>
          <w:rFonts w:ascii="NewsGotT" w:hAnsi="NewsGotT" w:cs="NewsGotT"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sz w:val="22"/>
          <w:szCs w:val="22"/>
        </w:rPr>
        <w:t xml:space="preserve">En dicho contexto, el Promotor </w:t>
      </w:r>
      <w:r>
        <w:rPr>
          <w:rFonts w:ascii="NewsGotT" w:hAnsi="NewsGotT" w:cs="NewsGotT"/>
          <w:b/>
          <w:sz w:val="22"/>
          <w:szCs w:val="22"/>
        </w:rPr>
        <w:t>MANIFIESTA QUE</w:t>
      </w:r>
    </w:p>
    <w:p w:rsidR="008673F8" w:rsidRDefault="008673F8" w:rsidP="008673F8">
      <w:pPr>
        <w:pStyle w:val="Estilo"/>
        <w:ind w:right="-16"/>
        <w:jc w:val="both"/>
        <w:rPr>
          <w:rFonts w:ascii="NewsGotT" w:hAnsi="NewsGotT" w:cs="NewsGotT"/>
          <w:b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both"/>
        <w:rPr>
          <w:rFonts w:ascii="NewsGotT" w:hAnsi="NewsGotT"/>
          <w:sz w:val="22"/>
          <w:szCs w:val="22"/>
        </w:rPr>
      </w:pPr>
      <w:permStart w:id="88156459" w:edGrp="everyone"/>
      <w:r>
        <w:rPr>
          <w:rFonts w:ascii="Wingdings" w:eastAsia="Wingdings" w:hAnsi="Wingdings" w:cs="Wingdings"/>
          <w:sz w:val="22"/>
          <w:szCs w:val="22"/>
        </w:rPr>
        <w:t></w:t>
      </w:r>
      <w:permEnd w:id="88156459"/>
      <w:r>
        <w:rPr>
          <w:rFonts w:ascii="NewsGotT" w:hAnsi="NewsGotT" w:cs="NewsGotT"/>
          <w:sz w:val="22"/>
          <w:szCs w:val="22"/>
        </w:rPr>
        <w:t>Autoriza a la Entidad Gestora y/o la autoridad sanitaria en Andalucía a publicar en su página web, con fines informativos, la información de acceso público que se encuentran previamente publicados en los Registros correspondientes.</w:t>
      </w:r>
    </w:p>
    <w:p w:rsidR="008673F8" w:rsidRDefault="008673F8" w:rsidP="008673F8">
      <w:pPr>
        <w:pStyle w:val="Estilo"/>
        <w:ind w:right="-16"/>
        <w:jc w:val="both"/>
        <w:rPr>
          <w:rFonts w:ascii="NewsGotT" w:hAnsi="NewsGotT" w:cs="NewsGotT"/>
          <w:sz w:val="22"/>
          <w:szCs w:val="22"/>
        </w:rPr>
      </w:pPr>
    </w:p>
    <w:p w:rsidR="008673F8" w:rsidRDefault="008673F8" w:rsidP="008673F8">
      <w:pPr>
        <w:pStyle w:val="Estilo"/>
        <w:ind w:right="-16"/>
        <w:jc w:val="both"/>
        <w:rPr>
          <w:rFonts w:ascii="NewsGotT" w:hAnsi="NewsGotT"/>
          <w:sz w:val="22"/>
          <w:szCs w:val="22"/>
        </w:rPr>
      </w:pPr>
      <w:permStart w:id="1842824636" w:edGrp="everyone"/>
      <w:r>
        <w:rPr>
          <w:rFonts w:ascii="Wingdings" w:eastAsia="Wingdings" w:hAnsi="Wingdings" w:cs="Wingdings"/>
          <w:sz w:val="22"/>
          <w:szCs w:val="22"/>
        </w:rPr>
        <w:t></w:t>
      </w:r>
      <w:permEnd w:id="1842824636"/>
      <w:r>
        <w:rPr>
          <w:rFonts w:ascii="NewsGotT" w:hAnsi="NewsGotT" w:cs="NewsGotT"/>
          <w:sz w:val="22"/>
          <w:szCs w:val="22"/>
        </w:rPr>
        <w:t>No autoriza a la Entidad Gestora y/o la autoridad sanitaria en Andalucía a publicar en su página web la información referida.</w:t>
      </w:r>
    </w:p>
    <w:p w:rsidR="008673F8" w:rsidRDefault="008673F8" w:rsidP="008673F8">
      <w:pPr>
        <w:jc w:val="both"/>
        <w:rPr>
          <w:rFonts w:ascii="NewsGotT" w:hAnsi="NewsGotT" w:cs="NewsGotT"/>
          <w:sz w:val="22"/>
        </w:rPr>
      </w:pPr>
    </w:p>
    <w:p w:rsidR="008673F8" w:rsidRDefault="008673F8" w:rsidP="008673F8">
      <w:pPr>
        <w:ind w:right="1133"/>
        <w:jc w:val="both"/>
        <w:rPr>
          <w:rFonts w:ascii="NewsGotT" w:hAnsi="NewsGotT"/>
          <w:sz w:val="22"/>
        </w:rPr>
      </w:pPr>
      <w:permStart w:id="2126193051" w:edGrp="everyone"/>
      <w:r>
        <w:rPr>
          <w:rFonts w:ascii="NewsGotT" w:hAnsi="NewsGotT" w:cs="NewsGotT"/>
          <w:iCs/>
          <w:sz w:val="22"/>
        </w:rPr>
        <w:t xml:space="preserve">En </w:t>
      </w:r>
      <w:r>
        <w:rPr>
          <w:rFonts w:ascii="NewsGotT" w:hAnsi="NewsGotT" w:cs="NewsGotT"/>
          <w:bCs/>
          <w:sz w:val="22"/>
          <w:shd w:val="clear" w:color="auto" w:fill="D3D3D3"/>
        </w:rPr>
        <w:t>__________________</w:t>
      </w:r>
      <w:r>
        <w:rPr>
          <w:rFonts w:ascii="NewsGotT" w:hAnsi="NewsGotT" w:cs="NewsGotT"/>
          <w:iCs/>
          <w:sz w:val="22"/>
        </w:rPr>
        <w:t xml:space="preserve">, a </w:t>
      </w:r>
      <w:r>
        <w:rPr>
          <w:rFonts w:ascii="NewsGotT" w:hAnsi="NewsGotT" w:cs="NewsGotT"/>
          <w:bCs/>
          <w:sz w:val="22"/>
          <w:shd w:val="clear" w:color="auto" w:fill="D3D3D3"/>
        </w:rPr>
        <w:t>__</w:t>
      </w:r>
      <w:r>
        <w:rPr>
          <w:rFonts w:ascii="NewsGotT" w:hAnsi="NewsGotT" w:cs="NewsGotT"/>
          <w:iCs/>
          <w:sz w:val="22"/>
        </w:rPr>
        <w:t xml:space="preserve"> de </w:t>
      </w:r>
      <w:r>
        <w:rPr>
          <w:rFonts w:ascii="NewsGotT" w:hAnsi="NewsGotT" w:cs="NewsGotT"/>
          <w:bCs/>
          <w:sz w:val="22"/>
          <w:shd w:val="clear" w:color="auto" w:fill="D3D3D3"/>
        </w:rPr>
        <w:t>___________</w:t>
      </w:r>
      <w:r>
        <w:rPr>
          <w:rFonts w:ascii="NewsGotT" w:hAnsi="NewsGotT" w:cs="NewsGotT"/>
          <w:iCs/>
          <w:sz w:val="22"/>
        </w:rPr>
        <w:t xml:space="preserve"> de 20</w:t>
      </w:r>
      <w:r>
        <w:rPr>
          <w:rFonts w:ascii="NewsGotT" w:hAnsi="NewsGotT" w:cs="NewsGotT"/>
          <w:bCs/>
          <w:sz w:val="22"/>
          <w:shd w:val="clear" w:color="auto" w:fill="D3D3D3"/>
        </w:rPr>
        <w:t>__</w:t>
      </w:r>
    </w:p>
    <w:permEnd w:id="2126193051"/>
    <w:p w:rsidR="008673F8" w:rsidRDefault="008673F8" w:rsidP="008673F8">
      <w:pPr>
        <w:ind w:right="-1"/>
        <w:jc w:val="both"/>
        <w:rPr>
          <w:rFonts w:ascii="NewsGotT" w:hAnsi="NewsGotT" w:cs="NewsGotT"/>
          <w:iCs/>
          <w:sz w:val="22"/>
        </w:rPr>
      </w:pPr>
    </w:p>
    <w:p w:rsidR="008673F8" w:rsidRDefault="008673F8" w:rsidP="008673F8">
      <w:pPr>
        <w:jc w:val="both"/>
        <w:rPr>
          <w:rFonts w:ascii="NewsGotT" w:hAnsi="NewsGotT" w:cs="NewsGotT"/>
          <w:iCs/>
          <w:sz w:val="22"/>
        </w:rPr>
      </w:pPr>
    </w:p>
    <w:p w:rsidR="008673F8" w:rsidRDefault="008673F8" w:rsidP="008673F8">
      <w:pPr>
        <w:jc w:val="both"/>
        <w:rPr>
          <w:rFonts w:ascii="NewsGotT" w:hAnsi="NewsGotT" w:cs="NewsGotT"/>
          <w:iCs/>
          <w:sz w:val="22"/>
        </w:rPr>
      </w:pPr>
    </w:p>
    <w:p w:rsidR="008673F8" w:rsidRDefault="008673F8" w:rsidP="008673F8">
      <w:pPr>
        <w:jc w:val="both"/>
        <w:rPr>
          <w:rFonts w:ascii="NewsGotT" w:hAnsi="NewsGotT" w:cs="NewsGotT"/>
          <w:iCs/>
          <w:sz w:val="22"/>
        </w:rPr>
      </w:pPr>
    </w:p>
    <w:p w:rsidR="008673F8" w:rsidRDefault="008673F8" w:rsidP="008673F8">
      <w:pPr>
        <w:jc w:val="both"/>
        <w:rPr>
          <w:rFonts w:ascii="NewsGotT" w:hAnsi="NewsGotT" w:cs="NewsGotT"/>
          <w:iCs/>
          <w:sz w:val="22"/>
        </w:rPr>
      </w:pPr>
    </w:p>
    <w:p w:rsidR="00B510EC" w:rsidRPr="008673F8" w:rsidRDefault="008673F8" w:rsidP="008673F8">
      <w:pPr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sz w:val="22"/>
        </w:rPr>
        <w:t xml:space="preserve">Fdo.: </w:t>
      </w:r>
      <w:permStart w:id="744102330" w:edGrp="everyone"/>
      <w:r>
        <w:rPr>
          <w:rFonts w:ascii="NewsGotT" w:eastAsia="MS Mincho" w:hAnsi="NewsGotT" w:cs="NewsGotT"/>
          <w:sz w:val="22"/>
          <w:shd w:val="clear" w:color="auto" w:fill="D9D9D9"/>
          <w:lang w:eastAsia="ja-JP"/>
        </w:rPr>
        <w:t>___________________</w:t>
      </w:r>
      <w:permEnd w:id="744102330"/>
    </w:p>
    <w:sectPr w:rsidR="00B510EC" w:rsidRPr="008673F8" w:rsidSect="00B510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6C" w:rsidRDefault="0091696C" w:rsidP="008673F8">
      <w:r>
        <w:separator/>
      </w:r>
    </w:p>
  </w:endnote>
  <w:endnote w:type="continuationSeparator" w:id="0">
    <w:p w:rsidR="0091696C" w:rsidRDefault="0091696C" w:rsidP="008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F8" w:rsidRDefault="008673F8" w:rsidP="008673F8">
    <w:pPr>
      <w:pStyle w:val="Standard"/>
      <w:ind w:left="3969" w:firstLine="35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-1115695</wp:posOffset>
          </wp:positionH>
          <wp:positionV relativeFrom="page">
            <wp:posOffset>9013190</wp:posOffset>
          </wp:positionV>
          <wp:extent cx="939165" cy="1663065"/>
          <wp:effectExtent l="0" t="0" r="0" b="0"/>
          <wp:wrapSquare wrapText="bothSides"/>
          <wp:docPr id="1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66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Medium ITC" w:hAnsi="Eras Medium ITC" w:cs="Eras Medium ITC"/>
        <w:color w:val="007A3D"/>
        <w:w w:val="80"/>
        <w:sz w:val="16"/>
      </w:rPr>
      <w:t>Avda. de la Innovación, s/n. Edificio Arena 1. Apdo. Correos 17.111.</w:t>
    </w:r>
  </w:p>
  <w:p w:rsidR="008673F8" w:rsidRDefault="008673F8" w:rsidP="008673F8">
    <w:pPr>
      <w:pStyle w:val="Standard"/>
      <w:ind w:left="3969" w:firstLine="351"/>
    </w:pPr>
    <w:r>
      <w:rPr>
        <w:rFonts w:ascii="Eras Medium ITC" w:hAnsi="Eras Medium ITC" w:cs="Eras Medium ITC"/>
        <w:color w:val="007A3D"/>
        <w:w w:val="80"/>
        <w:sz w:val="16"/>
      </w:rPr>
      <w:t>41080 Sevilla</w:t>
    </w:r>
  </w:p>
  <w:p w:rsidR="008673F8" w:rsidRDefault="008673F8" w:rsidP="008673F8">
    <w:pPr>
      <w:pStyle w:val="Standard"/>
      <w:ind w:left="3969" w:firstLine="351"/>
    </w:pPr>
    <w:r>
      <w:rPr>
        <w:rFonts w:ascii="Eras Medium ITC" w:hAnsi="Eras Medium ITC" w:cs="Eras Medium ITC"/>
        <w:color w:val="007A3D"/>
        <w:w w:val="80"/>
        <w:sz w:val="16"/>
      </w:rPr>
      <w:t>Teléf. 95 500 63 00. Fax 95 500 63 26</w:t>
    </w:r>
  </w:p>
  <w:p w:rsidR="008673F8" w:rsidRDefault="00867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6C" w:rsidRDefault="0091696C" w:rsidP="008673F8">
      <w:r>
        <w:separator/>
      </w:r>
    </w:p>
  </w:footnote>
  <w:footnote w:type="continuationSeparator" w:id="0">
    <w:p w:rsidR="0091696C" w:rsidRDefault="0091696C" w:rsidP="0086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77" w:rsidRDefault="004E0977" w:rsidP="004E0977">
    <w:pPr>
      <w:pStyle w:val="Remitedesobre"/>
      <w:ind w:right="-1"/>
    </w:pPr>
    <w:r>
      <w:rPr>
        <w:noProof/>
        <w:lang w:eastAsia="es-ES"/>
      </w:rPr>
      <w:drawing>
        <wp:anchor distT="0" distB="0" distL="133985" distR="114935" simplePos="0" relativeHeight="251661312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-13970</wp:posOffset>
          </wp:positionV>
          <wp:extent cx="1912620" cy="198120"/>
          <wp:effectExtent l="19050" t="0" r="0" b="0"/>
          <wp:wrapTopAndBottom/>
          <wp:docPr id="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488" r="-50" b="-488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  <w:t>CONSEJERÍA DE SALUD</w:t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Md BT" w:hAnsi="Eras Md BT" w:cs="Eras Bk BT"/>
        <w:color w:val="087021"/>
        <w:w w:val="80"/>
        <w:sz w:val="18"/>
      </w:rPr>
      <w:t>Secretaría General de Investigación, Desarrollo e Innovación en Salud.</w:t>
    </w:r>
  </w:p>
  <w:p w:rsidR="008673F8" w:rsidRDefault="008673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F8"/>
    <w:rsid w:val="00082F2D"/>
    <w:rsid w:val="000A76C9"/>
    <w:rsid w:val="00142164"/>
    <w:rsid w:val="00193753"/>
    <w:rsid w:val="00224BA2"/>
    <w:rsid w:val="00325CC6"/>
    <w:rsid w:val="003C112C"/>
    <w:rsid w:val="004E0977"/>
    <w:rsid w:val="005414CE"/>
    <w:rsid w:val="005557AF"/>
    <w:rsid w:val="00763431"/>
    <w:rsid w:val="008673F8"/>
    <w:rsid w:val="00913902"/>
    <w:rsid w:val="0091696C"/>
    <w:rsid w:val="00A946B5"/>
    <w:rsid w:val="00AC7540"/>
    <w:rsid w:val="00B510EC"/>
    <w:rsid w:val="00C97E28"/>
    <w:rsid w:val="00E170A8"/>
    <w:rsid w:val="00EF6DFD"/>
    <w:rsid w:val="00F20C2F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EF529-03E2-4C9D-B4AE-0CF0D75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F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qFormat/>
    <w:rsid w:val="008673F8"/>
    <w:pPr>
      <w:widowControl w:val="0"/>
      <w:suppressAutoHyphens/>
      <w:spacing w:after="0" w:line="240" w:lineRule="auto"/>
    </w:pPr>
    <w:rPr>
      <w:rFonts w:ascii="Arial" w:eastAsia="SimSun" w:hAnsi="Arial" w:cs="Arial"/>
      <w:color w:val="00000A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8673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73F8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8673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73F8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Standard">
    <w:name w:val="Standard"/>
    <w:qFormat/>
    <w:rsid w:val="008673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emitedesobre">
    <w:name w:val="envelope return"/>
    <w:basedOn w:val="Standard"/>
    <w:qFormat/>
    <w:rsid w:val="008673F8"/>
    <w:pPr>
      <w:keepLines/>
      <w:widowControl w:val="0"/>
      <w:spacing w:line="192" w:lineRule="auto"/>
      <w:ind w:right="-120"/>
    </w:pPr>
    <w:rPr>
      <w:rFonts w:ascii="Bookman Old Style" w:hAnsi="Bookman Old Style" w:cs="Bookman Old Style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>FPS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pcallejo00R</dc:creator>
  <cp:keywords/>
  <dc:description/>
  <cp:lastModifiedBy>CA42_DMINVESTIGACION</cp:lastModifiedBy>
  <cp:revision>2</cp:revision>
  <dcterms:created xsi:type="dcterms:W3CDTF">2019-06-26T08:03:00Z</dcterms:created>
  <dcterms:modified xsi:type="dcterms:W3CDTF">2019-06-26T08:03:00Z</dcterms:modified>
</cp:coreProperties>
</file>